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Республики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</w:rPr>
        <w:t xml:space="preserve"> ПОСТАНОВЛЕНИЕ №</w:t>
      </w:r>
      <w:r>
        <w:rPr>
          <w:rFonts w:ascii="Arial" w:hAnsi="Arial" w:cs="Arial"/>
          <w:bCs/>
          <w:lang w:val="ru-RU"/>
        </w:rPr>
        <w:t>3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14 мая  2020  года                                                                                   </w:t>
      </w:r>
    </w:p>
    <w:p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4536"/>
          <w:tab w:val="left" w:pos="5387"/>
          <w:tab w:val="left" w:pos="5670"/>
        </w:tabs>
        <w:spacing w:after="0" w:line="240" w:lineRule="auto"/>
        <w:ind w:right="4535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 xml:space="preserve">Об утверждении Порядка формирования перечня налоговых расходов и оценки налоговых расходов </w:t>
      </w:r>
      <w:r>
        <w:rPr>
          <w:rFonts w:ascii="Arial" w:hAnsi="Arial" w:eastAsia="Calibri" w:cs="Arial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eastAsia="Times New Roman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tabs>
          <w:tab w:val="left" w:pos="4536"/>
          <w:tab w:val="left" w:pos="5387"/>
          <w:tab w:val="left" w:pos="5670"/>
        </w:tabs>
        <w:spacing w:after="0" w:line="240" w:lineRule="auto"/>
        <w:ind w:right="4535"/>
        <w:jc w:val="both"/>
        <w:rPr>
          <w:rFonts w:ascii="Arial" w:hAnsi="Arial" w:eastAsia="Calibri" w:cs="Arial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174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Бюджетного кодекса Российской Федерации, постановлением Правительства Российской Федерации от 22 июня 2019 г. №796 «Об общих требованиях к оценке налоговых расходов субъектов Российской Федерации и муниципальных образований», </w:t>
      </w:r>
      <w:r>
        <w:rPr>
          <w:rFonts w:ascii="Arial" w:hAnsi="Arial" w:cs="Arial"/>
          <w:color w:val="FF0000"/>
          <w:sz w:val="24"/>
          <w:szCs w:val="24"/>
        </w:rPr>
        <w:t>рассмотрев представление прокурора города Альметьевска №</w:t>
      </w:r>
      <w:r>
        <w:rPr>
          <w:rFonts w:ascii="Arial" w:hAnsi="Arial" w:cs="Arial"/>
          <w:color w:val="FF0000"/>
          <w:sz w:val="24"/>
          <w:szCs w:val="24"/>
          <w:lang w:val="ru-RU"/>
        </w:rPr>
        <w:t xml:space="preserve">67 </w:t>
      </w:r>
      <w:r>
        <w:rPr>
          <w:rFonts w:ascii="Arial" w:hAnsi="Arial" w:cs="Arial"/>
          <w:color w:val="FF0000"/>
          <w:sz w:val="24"/>
          <w:szCs w:val="24"/>
        </w:rPr>
        <w:t>п от 13 февраля 2020 года</w:t>
      </w:r>
    </w:p>
    <w:p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Нижнеабдулловский </w:t>
      </w:r>
      <w:r>
        <w:rPr>
          <w:sz w:val="24"/>
          <w:szCs w:val="24"/>
        </w:rPr>
        <w:t xml:space="preserve"> сельский исполнительный комитет ПОСТАНОВЛЯЕТ:</w:t>
      </w:r>
    </w:p>
    <w:p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>
      <w:pPr>
        <w:pStyle w:val="13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Порядок формирования перечня налоговых расходов и проведения оценки налоговых расходов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Calibri" w:cs="Arial"/>
          <w:sz w:val="24"/>
          <w:szCs w:val="24"/>
          <w:lang w:val="ru-RU"/>
        </w:rPr>
        <w:t xml:space="preserve">Нижнеабдулловского 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Татарстан(Приложение №1)</w:t>
      </w:r>
      <w:r>
        <w:rPr>
          <w:rFonts w:ascii="Arial" w:hAnsi="Arial" w:cs="Arial"/>
          <w:i/>
          <w:sz w:val="24"/>
          <w:szCs w:val="24"/>
        </w:rPr>
        <w:t>.</w:t>
      </w:r>
    </w:p>
    <w:p>
      <w:pPr>
        <w:tabs>
          <w:tab w:val="left" w:pos="5387"/>
          <w:tab w:val="left" w:pos="567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Предложить Управлению Федеральной налоговой службы по  Республике Татарстан до 1 сентября направить в </w:t>
      </w: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 Альметьевского муниципального района Республики Татарстан сведения за отчетный год, за год, предшествующий отчетному году: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количестве плательщиков, воспользовавшихся льготами;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суммах выпадающих доходов бюджета </w:t>
      </w:r>
      <w:r>
        <w:rPr>
          <w:rFonts w:ascii="Arial" w:hAnsi="Arial" w:eastAsia="Calibri" w:cs="Arial"/>
          <w:sz w:val="24"/>
          <w:szCs w:val="24"/>
          <w:lang w:val="ru-RU"/>
        </w:rPr>
        <w:t xml:space="preserve">Нижнеабдулловского 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 xml:space="preserve">Альметьевского муниципального района Республики Татарстан по каждому налоговому расходу </w:t>
      </w:r>
      <w:r>
        <w:rPr>
          <w:rFonts w:ascii="Arial" w:hAnsi="Arial" w:eastAsia="Calibri" w:cs="Arial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Обнародовать настоящее постановление на специальных информационных стендах, расположенных на территории населенн</w:t>
      </w:r>
      <w:r>
        <w:rPr>
          <w:rFonts w:ascii="Arial" w:hAnsi="Arial" w:cs="Arial"/>
          <w:sz w:val="24"/>
          <w:szCs w:val="24"/>
          <w:lang w:val="ru-RU"/>
        </w:rPr>
        <w:t>ых</w:t>
      </w:r>
      <w:r>
        <w:rPr>
          <w:rFonts w:ascii="Arial" w:hAnsi="Arial" w:cs="Arial"/>
          <w:sz w:val="24"/>
          <w:szCs w:val="24"/>
        </w:rPr>
        <w:t xml:space="preserve"> пункт</w:t>
      </w:r>
      <w:r>
        <w:rPr>
          <w:rFonts w:ascii="Arial" w:hAnsi="Arial" w:cs="Arial"/>
          <w:sz w:val="24"/>
          <w:szCs w:val="24"/>
          <w:lang w:val="ru-RU"/>
        </w:rPr>
        <w:t>ов</w:t>
      </w:r>
      <w:bookmarkStart w:id="3" w:name="_GoBack"/>
      <w:bookmarkEnd w:id="3"/>
      <w:r>
        <w:rPr>
          <w:rFonts w:ascii="Arial" w:hAnsi="Arial" w:cs="Arial"/>
          <w:sz w:val="24"/>
          <w:szCs w:val="24"/>
        </w:rPr>
        <w:t>: Альметьевский район, с</w:t>
      </w:r>
      <w:r>
        <w:rPr>
          <w:rFonts w:ascii="Arial" w:hAnsi="Arial" w:cs="Arial"/>
          <w:sz w:val="24"/>
          <w:szCs w:val="24"/>
          <w:lang w:val="ru-RU"/>
        </w:rPr>
        <w:t>. Нижнее Абдулово,</w:t>
      </w:r>
      <w:r>
        <w:rPr>
          <w:rFonts w:ascii="Arial" w:hAnsi="Arial" w:cs="Arial"/>
          <w:sz w:val="24"/>
          <w:szCs w:val="24"/>
        </w:rPr>
        <w:t xml:space="preserve"> ул.</w:t>
      </w:r>
      <w:r>
        <w:rPr>
          <w:rFonts w:ascii="Arial" w:hAnsi="Arial" w:cs="Arial"/>
          <w:sz w:val="24"/>
          <w:szCs w:val="24"/>
          <w:lang w:val="ru-RU"/>
        </w:rPr>
        <w:t>Ленина,</w:t>
      </w:r>
      <w:r>
        <w:rPr>
          <w:rFonts w:ascii="Arial" w:hAnsi="Arial" w:cs="Arial"/>
          <w:sz w:val="24"/>
          <w:szCs w:val="24"/>
        </w:rPr>
        <w:t xml:space="preserve"> д.</w:t>
      </w:r>
      <w:r>
        <w:rPr>
          <w:rFonts w:ascii="Arial" w:hAnsi="Arial" w:cs="Arial"/>
          <w:sz w:val="24"/>
          <w:szCs w:val="24"/>
          <w:lang w:val="ru-RU"/>
        </w:rPr>
        <w:t>92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ru-RU"/>
        </w:rPr>
        <w:t>д.Кзыл Кеч, ул.Кзыл Кеч, д.12,</w:t>
      </w:r>
      <w:r>
        <w:rPr>
          <w:rFonts w:ascii="Arial" w:hAnsi="Arial" w:cs="Arial"/>
          <w:sz w:val="24"/>
          <w:szCs w:val="24"/>
        </w:rPr>
        <w:t xml:space="preserve"> разместить на </w:t>
      </w:r>
      <w:r>
        <w:rPr>
          <w:rFonts w:ascii="Arial" w:hAnsi="Arial" w:eastAsia="Calibri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Официальном портале правовой информации Республики Татарстан</w:t>
      </w:r>
      <w:r>
        <w:rPr>
          <w:rFonts w:ascii="Arial" w:hAnsi="Arial" w:eastAsia="Calibri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</w:t>
      </w:r>
      <w:r>
        <w:rPr>
          <w:rFonts w:ascii="Arial" w:hAnsi="Arial" w:cs="Arial"/>
          <w:sz w:val="24"/>
          <w:szCs w:val="24"/>
          <w:lang w:val="tt-RU"/>
        </w:rPr>
        <w:t xml:space="preserve"> и на сайте Альметьевского муниципального района в  сети </w:t>
      </w:r>
      <w:r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  <w:lang w:val="tt-RU"/>
        </w:rPr>
        <w:t>Интернет</w:t>
      </w:r>
      <w:r>
        <w:rPr>
          <w:rFonts w:ascii="Arial" w:hAnsi="Arial" w:eastAsia="Calibri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  <w:lang w:val="tt-RU"/>
        </w:rPr>
        <w:t>.</w:t>
      </w:r>
    </w:p>
    <w:p>
      <w:pPr>
        <w:pStyle w:val="2"/>
        <w:spacing w:before="0" w:line="240" w:lineRule="auto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color w:val="auto"/>
          <w:sz w:val="24"/>
          <w:szCs w:val="24"/>
        </w:rPr>
        <w:t>4.Настоящее постановление вступает в силу после его официального опубликования.</w:t>
      </w:r>
    </w:p>
    <w:p>
      <w:pPr>
        <w:pStyle w:val="2"/>
        <w:spacing w:before="0" w:line="240" w:lineRule="auto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color w:val="auto"/>
          <w:sz w:val="24"/>
          <w:szCs w:val="24"/>
        </w:rPr>
        <w:t>5.Контроль за исполнением настоящего постановления оставляю за собой.</w:t>
      </w:r>
    </w:p>
    <w:p>
      <w:pPr>
        <w:pStyle w:val="13"/>
        <w:rPr>
          <w:rFonts w:ascii="Arial" w:hAnsi="Arial" w:cs="Arial"/>
          <w:bCs/>
          <w:sz w:val="4"/>
          <w:szCs w:val="24"/>
        </w:rPr>
      </w:pPr>
    </w:p>
    <w:p>
      <w:pPr>
        <w:pStyle w:val="13"/>
        <w:rPr>
          <w:rFonts w:ascii="Arial" w:hAnsi="Arial" w:cs="Arial"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1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 Р.Р.Юнусов</w:t>
      </w:r>
    </w:p>
    <w:p>
      <w:pPr>
        <w:pStyle w:val="13"/>
        <w:rPr>
          <w:rFonts w:ascii="Arial" w:hAnsi="Arial" w:cs="Arial"/>
        </w:rPr>
      </w:pPr>
    </w:p>
    <w:p>
      <w:pPr>
        <w:pStyle w:val="13"/>
        <w:rPr>
          <w:rFonts w:ascii="Arial" w:hAnsi="Arial" w:cs="Arial"/>
        </w:rPr>
      </w:pPr>
    </w:p>
    <w:tbl>
      <w:tblPr>
        <w:tblStyle w:val="10"/>
        <w:tblW w:w="4252" w:type="dxa"/>
        <w:tblInd w:w="50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2" w:type="dxa"/>
          </w:tcPr>
          <w:p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№1</w:t>
            </w:r>
          </w:p>
          <w:p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постановлению </w:t>
            </w:r>
            <w:r>
              <w:rPr>
                <w:rFonts w:ascii="Arial" w:hAnsi="Arial" w:cs="Arial"/>
                <w:lang w:val="ru-RU"/>
              </w:rPr>
              <w:t>Нижнеабдулловского</w:t>
            </w:r>
            <w:r>
              <w:rPr>
                <w:rFonts w:ascii="Arial" w:hAnsi="Arial" w:cs="Arial"/>
              </w:rPr>
              <w:t xml:space="preserve"> сельского исполнительного комитета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2" w:type="dxa"/>
          </w:tcPr>
          <w:p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Альметьевского муниципального района Республики Татарстан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2" w:type="dxa"/>
          </w:tcPr>
          <w:p>
            <w:pPr>
              <w:suppressAutoHyphens/>
              <w:spacing w:after="0" w:line="24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  <w:lang w:val="ru-RU"/>
              </w:rPr>
              <w:t xml:space="preserve">14 мая </w:t>
            </w:r>
            <w:r>
              <w:rPr>
                <w:rFonts w:ascii="Arial" w:hAnsi="Arial" w:cs="Arial"/>
              </w:rPr>
              <w:t xml:space="preserve"> 2020 года №</w:t>
            </w:r>
            <w:r>
              <w:rPr>
                <w:rFonts w:ascii="Arial" w:hAnsi="Arial" w:cs="Arial"/>
                <w:lang w:val="ru-RU"/>
              </w:rPr>
              <w:t>3</w:t>
            </w:r>
          </w:p>
        </w:tc>
      </w:tr>
    </w:tbl>
    <w:p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</w:t>
      </w:r>
    </w:p>
    <w:p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формирования перечня налоговых расходов и проведения</w:t>
      </w:r>
    </w:p>
    <w:p>
      <w:pPr>
        <w:tabs>
          <w:tab w:val="left" w:pos="496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оценки налоговых расходов </w:t>
      </w:r>
      <w:r>
        <w:rPr>
          <w:rFonts w:ascii="Arial" w:hAnsi="Arial" w:eastAsia="Calibri" w:cs="Arial"/>
          <w:sz w:val="24"/>
          <w:szCs w:val="24"/>
          <w:lang w:val="ru-RU"/>
        </w:rPr>
        <w:t xml:space="preserve">Нижнеабдулловского </w:t>
      </w:r>
      <w:r>
        <w:rPr>
          <w:rFonts w:ascii="Arial" w:hAnsi="Arial" w:eastAsia="Calibri" w:cs="Arial"/>
          <w:sz w:val="24"/>
          <w:szCs w:val="24"/>
        </w:rPr>
        <w:t xml:space="preserve">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tabs>
          <w:tab w:val="left" w:pos="496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496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>
      <w:pPr>
        <w:pStyle w:val="12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 Настоящий Порядок определяет правила формирования перечня налоговых расходов и оценки проведения налоговых расходов </w:t>
      </w:r>
      <w:r>
        <w:rPr>
          <w:rFonts w:ascii="Arial" w:hAnsi="Arial" w:eastAsia="Calibri" w:cs="Arial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 (далее – Порядок, муниципальное  образование).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 В настоящем Порядке используются термины и понятия, установленныеобщими требованиями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 (далее -Общие требования).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4"/>
      <w:r>
        <w:rPr>
          <w:rFonts w:ascii="Arial" w:hAnsi="Arial" w:cs="Arial"/>
          <w:sz w:val="24"/>
          <w:szCs w:val="24"/>
        </w:rPr>
        <w:t>3. Отнесение налоговых расходов муниципального образования к муниципальным программам осуществляется исходя из целей муниципальных программ, структурных элементов муниципальных программ и (или) целей социально-экономической политики муниципального образования, не относящихся к муниципальным программам.</w:t>
      </w:r>
    </w:p>
    <w:bookmarkEnd w:id="0"/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 В целях оценки налоговых расходов муниципального образования исполнительный комитет муниципального образования (либо иной уполномоченный орган):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формирует перечень налоговых расходов муниципального образования;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осуществляет анализ и обобщение результатов оценки налоговых расходов муниципального образования.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>
      <w:pPr>
        <w:pStyle w:val="12"/>
        <w:spacing w:after="0" w:line="240" w:lineRule="auto"/>
        <w:ind w:left="0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Формирование перечня налоговых расходов муниципального образования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 Перечень налоговых расходов муниципального образования на очередной финансовый год и плановый период формируется исполнительным комитетом муниципального образования (либо иным уполномоченным органом) и утверждается до 1 июня текущего года.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Утвержденный Перечень налоговых расходов муниципального образования размещается на официальном сайте муниципального образования не позднее 1 июля текущего года.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  <w:sectPr>
          <w:headerReference r:id="rId3" w:type="first"/>
          <w:pgSz w:w="11906" w:h="16838"/>
          <w:pgMar w:top="851" w:right="1134" w:bottom="1134" w:left="1701" w:header="567" w:footer="567" w:gutter="0"/>
          <w:pgNumType w:start="1"/>
          <w:cols w:space="708" w:num="1"/>
          <w:docGrid w:linePitch="360" w:charSpace="0"/>
        </w:sectPr>
      </w:pPr>
      <w:r>
        <w:rPr>
          <w:rFonts w:ascii="Arial" w:hAnsi="Arial" w:cs="Arial"/>
          <w:sz w:val="24"/>
          <w:szCs w:val="24"/>
        </w:rPr>
        <w:t>7. В целях оценки налоговых расходов муниципального образования Управление Федеральной налоговой службы по Республике Татарстан представляет в исполнительный комитет муниципального образования информацию о фискальных характеристиках налоговых расходов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 за отчетный финансовый год и за год, предшествующий отчетному.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В целях проведения оценки налоговых расходов муниципального образования исполнительный комитет муниципального образования (либо иной уполномоченный орган) ежегодно, до 1 августа, направляет в Управление Федеральной налоговой службы по Республике Татарстан сведения о категориях плательщиков с указанием обусловливающих соответствующие налоговые расходы муниципального образования нормативных правовых актов муниципального образования, в том числе действовавших в отчетном году и в году, предшествующем отчетному году, и иной информации, предусмотренной </w:t>
      </w:r>
      <w:r>
        <w:fldChar w:fldCharType="begin"/>
      </w:r>
      <w:r>
        <w:instrText xml:space="preserve"> HYPERLINK "consultantplus://offline/ref=CC5AC064E0D8DD765A7C2583F37C2AC53F3322099DAF8AB410A7B40A97C92F6516E2E76C209411772CD4D6B7542C5AE02EE637C6675A7BB02E9DD669f1I1H" </w:instrText>
      </w:r>
      <w:r>
        <w:fldChar w:fldCharType="separate"/>
      </w:r>
      <w:r>
        <w:rPr>
          <w:rFonts w:ascii="Arial" w:hAnsi="Arial" w:cs="Arial"/>
          <w:sz w:val="24"/>
          <w:szCs w:val="24"/>
        </w:rPr>
        <w:t>приложением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к настоящему Порядку.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В случае принятия нормативных правовых актов, предусматривающих изменение информации, включенной в Перечень налоговых расходов муниципального образования, исполнительный комитет муниципального образования в течение 10 рабочих дней с даты вступления в силу соответствующего нормативного правового акта, вносит соответствующие изменения в Перечень налоговых расходов муниципального образования.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bookmarkStart w:id="1" w:name="P53"/>
      <w:bookmarkEnd w:id="1"/>
    </w:p>
    <w:p>
      <w:pPr>
        <w:pStyle w:val="12"/>
        <w:spacing w:after="0" w:line="240" w:lineRule="auto"/>
        <w:ind w:left="0" w:firstLine="708"/>
        <w:jc w:val="center"/>
        <w:rPr>
          <w:rFonts w:ascii="Arial" w:hAnsi="Arial" w:cs="Arial"/>
          <w:sz w:val="24"/>
          <w:szCs w:val="24"/>
        </w:rPr>
      </w:pPr>
      <w:bookmarkStart w:id="2" w:name="P55"/>
      <w:bookmarkEnd w:id="2"/>
      <w:r>
        <w:rPr>
          <w:rFonts w:ascii="Arial" w:hAnsi="Arial" w:cs="Arial"/>
          <w:sz w:val="24"/>
          <w:szCs w:val="24"/>
        </w:rPr>
        <w:t>3. Порядок оценки налоговых расходов муниципального образования.</w:t>
      </w:r>
    </w:p>
    <w:p>
      <w:pPr>
        <w:pStyle w:val="12"/>
        <w:spacing w:after="0" w:line="240" w:lineRule="auto"/>
        <w:ind w:left="0" w:firstLine="708"/>
        <w:jc w:val="center"/>
        <w:rPr>
          <w:rFonts w:ascii="Arial" w:hAnsi="Arial" w:cs="Arial"/>
          <w:sz w:val="24"/>
          <w:szCs w:val="24"/>
        </w:rPr>
      </w:pP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Оценка налоговых расходов осуществляется исполнительным комитетом муниципального образования (либо иным уполномоченным органом) и включает: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-оценку объемов налоговых расходов муниципального образования;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-оценку эффективности налоговых расходов муниципального образования.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Оценка эффективности налоговых расходов муниципального образования включает: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оценку целесообразности налоговых расходов муниципального образования;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оценку результативности налоговых расходов муниципального образования.</w:t>
      </w:r>
    </w:p>
    <w:p>
      <w:pPr>
        <w:spacing w:after="0" w:line="240" w:lineRule="auto"/>
        <w:ind w:firstLine="709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12. Критериями целесообразности налоговых расходов муниципального образования являются:</w:t>
      </w:r>
    </w:p>
    <w:p>
      <w:pPr>
        <w:spacing w:after="0" w:line="240" w:lineRule="auto"/>
        <w:ind w:firstLine="709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соответствие налоговых расходов муниципального образования целям муниципальных программ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eastAsia="Calibri" w:cs="Arial"/>
          <w:sz w:val="24"/>
          <w:szCs w:val="24"/>
        </w:rPr>
        <w:t xml:space="preserve"> 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>
      <w:pPr>
        <w:spacing w:after="0" w:line="240" w:lineRule="auto"/>
        <w:ind w:firstLine="709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востребованность налогоплательщиками предоставленных налоговых льгот, которые характеризуются соотношением численности плательщиков, воспользовавшихся правом на льготы, и общей численности плательщиков  за пятилетний период.</w:t>
      </w:r>
    </w:p>
    <w:p>
      <w:pPr>
        <w:spacing w:after="0" w:line="240" w:lineRule="auto"/>
        <w:ind w:firstLine="709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 xml:space="preserve">В случае несоответствия налоговых расходов муниципального образования хотя бы одному из критериев, указанных в настоящем пункте, </w:t>
      </w:r>
      <w:r>
        <w:rPr>
          <w:rFonts w:ascii="Arial" w:hAnsi="Arial" w:cs="Arial"/>
          <w:sz w:val="24"/>
          <w:szCs w:val="24"/>
        </w:rPr>
        <w:t xml:space="preserve">исполнительному комитету муниципального образования (либо иному уполномоченному органу) </w:t>
      </w:r>
      <w:r>
        <w:rPr>
          <w:rFonts w:ascii="Arial" w:hAnsi="Arial" w:eastAsia="Calibri" w:cs="Arial"/>
          <w:sz w:val="24"/>
          <w:szCs w:val="24"/>
        </w:rPr>
        <w:t>надлежит представить предложения о сохранении (уточнении, отмене)  льгот для плательщиков.</w:t>
      </w:r>
    </w:p>
    <w:p>
      <w:pPr>
        <w:widowControl w:val="0"/>
        <w:spacing w:after="0" w:line="240" w:lineRule="auto"/>
        <w:ind w:firstLine="709"/>
        <w:jc w:val="both"/>
        <w:rPr>
          <w:rFonts w:ascii="Arial" w:hAnsi="Arial" w:eastAsia="Calibri" w:cs="Arial"/>
          <w:sz w:val="24"/>
          <w:szCs w:val="24"/>
        </w:rPr>
        <w:sectPr>
          <w:headerReference r:id="rId4" w:type="default"/>
          <w:pgSz w:w="11906" w:h="16838"/>
          <w:pgMar w:top="1134" w:right="1134" w:bottom="737" w:left="1701" w:header="567" w:footer="567" w:gutter="0"/>
          <w:pgNumType w:start="2"/>
          <w:cols w:space="708" w:num="1"/>
          <w:titlePg/>
          <w:docGrid w:linePitch="360" w:charSpace="0"/>
        </w:sectPr>
      </w:pPr>
      <w:r>
        <w:rPr>
          <w:rFonts w:ascii="Arial" w:hAnsi="Arial" w:eastAsia="Calibri" w:cs="Arial"/>
          <w:sz w:val="24"/>
          <w:szCs w:val="24"/>
        </w:rPr>
        <w:t>13. 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или целей социально-экономической политики муниципального образования, не относящихся к муниципальным программам, либо иной показатель (индикатор),</w:t>
      </w:r>
    </w:p>
    <w:p>
      <w:pPr>
        <w:widowControl w:val="0"/>
        <w:spacing w:after="0" w:line="240" w:lineRule="auto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 xml:space="preserve">на значение которого оказывают влияние налоговые расходы муниципального образования. Данный показатель (показатели) определяется за отчетный год, год, предшествующий отчетному, на текущий финансовый год, очередной финансовый год и плановый период. 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и (или)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14. Оценка результативности налоговых расходов муниципального образования включает оценку бюджетной эффективности налоговых расходов муниципального образования.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15. В целях проведения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 xml:space="preserve">16. Сравнительный анализ включает сравнение объемов расходов бюджета муниципального образования в случае применения альтернативных механизмов достижения целей муниципальной 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программам, и объёмом предоставленных льгот  (расчет прироста показателя (индикатора) достижения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образования, на 1 рубль налоговых расходов муниципальных программ муниципального образования и на 1 рубль расходов бюджета муниципального образования для достижения того же показателя (индикатора) в случае применения альтернативных механизмов). 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В качестве альтернативных механизмов достижения целей муниципальной программы муниципального образования и (или) целей социально-экономической политики муниципального образования, не относящихся к муниципальным программам, муниципального образования могут учитываться в том числе: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а) субсидии или иные формы непосредственной финансовой поддержки плательщиков, имеющих право на льготы, за счет средств бюджета муниципального образования;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б) предоставление муниципальных гарантий по обязательствам плательщиков, имеющих право на льготы;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</w:rPr>
        <w:t>в) 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Оценка налоговых расходов муниципального образования осуществляется до 1 октября и содержит: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информацию по Перечню показателей для проведения оценкиналоговых расходов;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>
          <w:pgSz w:w="11906" w:h="16838"/>
          <w:pgMar w:top="1134" w:right="1134" w:bottom="1134" w:left="1701" w:header="567" w:footer="567" w:gutter="0"/>
          <w:cols w:space="708" w:num="1"/>
          <w:titlePg/>
          <w:docGrid w:linePitch="360" w:charSpace="0"/>
        </w:sectPr>
      </w:pP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письменные пояснения, содержащие выводы о достижении (не достижении) целевых характеристик налогового расхода, о вкладе налогового расхода в достижение целей муниципальной программы и (или) направлений (целей) социально-экономической политики; </w:t>
      </w:r>
    </w:p>
    <w:p>
      <w:pPr>
        <w:pStyle w:val="12"/>
        <w:widowControl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предложения о наличии (отсутствии) более результативных альтернативных механизмов их достижения;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предложения по сохранению, уточнению (отмене) налоговых расходов, по установлению новых налоговых расходов.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 Результаты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образования, а также при проведении оценки эффективности реализации муниципальных программ.</w:t>
      </w: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>
      <w:pPr>
        <w:pStyle w:val="12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 xml:space="preserve">Нижнеабдулловского </w:t>
      </w:r>
    </w:p>
    <w:p>
      <w:pPr>
        <w:pStyle w:val="1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Р.Р.Юнусов</w:t>
      </w: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>
      <w:pPr>
        <w:widowControl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</w:p>
    <w:p>
      <w:pPr>
        <w:widowControl w:val="0"/>
        <w:spacing w:after="0" w:line="240" w:lineRule="auto"/>
        <w:ind w:left="5103"/>
        <w:rPr>
          <w:rFonts w:ascii="Arial" w:hAnsi="Arial" w:eastAsia="Calibri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к Порядку формирования перечня налоговых расходов и оценки проведения налоговых расходов </w:t>
      </w:r>
      <w:r>
        <w:rPr>
          <w:rFonts w:ascii="Arial" w:hAnsi="Arial" w:eastAsia="Calibri" w:cs="Arial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tabs>
          <w:tab w:val="left" w:pos="4962"/>
        </w:tabs>
        <w:spacing w:after="0" w:line="240" w:lineRule="auto"/>
        <w:ind w:left="4678"/>
        <w:jc w:val="right"/>
        <w:rPr>
          <w:rFonts w:ascii="Arial" w:hAnsi="Arial" w:cs="Arial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eastAsia="Times New Roman" w:cs="Arial"/>
          <w:spacing w:val="-4"/>
          <w:sz w:val="24"/>
          <w:szCs w:val="24"/>
        </w:rPr>
      </w:pPr>
      <w:r>
        <w:rPr>
          <w:rFonts w:ascii="Arial" w:hAnsi="Arial" w:eastAsia="Times New Roman" w:cs="Arial"/>
          <w:spacing w:val="-4"/>
          <w:sz w:val="24"/>
          <w:szCs w:val="24"/>
        </w:rPr>
        <w:t xml:space="preserve">Перечень показателей для проведения оценки налоговых расходов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  <w:lang w:val="ru-RU"/>
        </w:rPr>
        <w:t xml:space="preserve">Нижнеабдулловского </w:t>
      </w:r>
      <w:r>
        <w:rPr>
          <w:rFonts w:ascii="Arial" w:hAnsi="Arial" w:eastAsia="Calibri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Альметьевского муниципального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района Республики Татарстан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10"/>
        <w:tblW w:w="921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62" w:type="dxa"/>
          <w:bottom w:w="57" w:type="dxa"/>
          <w:right w:w="62" w:type="dxa"/>
        </w:tblCellMar>
      </w:tblPr>
      <w:tblGrid>
        <w:gridCol w:w="564"/>
        <w:gridCol w:w="6183"/>
        <w:gridCol w:w="2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№ п/п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Наименование показателя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Источник данных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9214" w:type="dxa"/>
            <w:gridSpan w:val="3"/>
          </w:tcPr>
          <w:p>
            <w:pPr>
              <w:pStyle w:val="1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Нормативные и целевые характеристики налогового расхода </w:t>
            </w:r>
          </w:p>
          <w:p>
            <w:pPr>
              <w:pStyle w:val="1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Нормативный правовой акт муниципального образования, устанавливающий </w:t>
            </w:r>
            <w:r>
              <w:rPr>
                <w:rFonts w:ascii="Arial" w:hAnsi="Arial" w:cs="Arial"/>
              </w:rPr>
              <w:t>налоговые</w:t>
            </w:r>
            <w:r>
              <w:rPr>
                <w:rFonts w:ascii="Arial" w:hAnsi="Arial" w:eastAsia="Calibri" w:cs="Arial"/>
              </w:rPr>
              <w:t xml:space="preserve"> льготы, освобождения и иные преференции</w:t>
            </w:r>
            <w:r>
              <w:rPr>
                <w:rFonts w:ascii="Arial" w:hAnsi="Arial" w:eastAsia="Times New Roman" w:cs="Arial"/>
              </w:rPr>
              <w:t xml:space="preserve"> по налогам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Условия предоставления </w:t>
            </w:r>
            <w:r>
              <w:rPr>
                <w:rFonts w:ascii="Arial" w:hAnsi="Arial" w:cs="Arial"/>
              </w:rPr>
              <w:t>налоговых</w:t>
            </w:r>
            <w:r>
              <w:rPr>
                <w:rFonts w:ascii="Arial" w:hAnsi="Arial" w:eastAsia="Calibri" w:cs="Arial"/>
              </w:rPr>
              <w:t xml:space="preserve"> льгот, освобождений и иных преференций, установленных </w:t>
            </w:r>
            <w:r>
              <w:rPr>
                <w:rFonts w:ascii="Arial" w:hAnsi="Arial" w:eastAsia="Times New Roman" w:cs="Arial"/>
              </w:rPr>
              <w:t>нормативными правовыми актами муниципального образования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915" w:hRule="atLeast"/>
        </w:trPr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3.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4.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Дата вступления в силу положений  нормативных правовых актов муниципального образования, устанавливающих </w:t>
            </w:r>
            <w:r>
              <w:rPr>
                <w:rFonts w:ascii="Arial" w:hAnsi="Arial" w:cs="Arial"/>
              </w:rPr>
              <w:t>налоговые</w:t>
            </w:r>
            <w:r>
              <w:rPr>
                <w:rFonts w:ascii="Arial" w:hAnsi="Arial" w:eastAsia="Calibri" w:cs="Arial"/>
              </w:rPr>
              <w:t xml:space="preserve"> льготы, освобождения и иные преференции</w:t>
            </w:r>
            <w:r>
              <w:rPr>
                <w:rFonts w:ascii="Arial" w:hAnsi="Arial" w:eastAsia="Times New Roman" w:cs="Arial"/>
              </w:rPr>
              <w:t xml:space="preserve"> по налогам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5.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Calibri" w:cs="Arial"/>
              </w:rPr>
            </w:pPr>
            <w:r>
              <w:rPr>
                <w:rFonts w:ascii="Arial" w:hAnsi="Arial" w:eastAsia="Times New Roman" w:cs="Arial"/>
              </w:rPr>
              <w:t xml:space="preserve">Дата начала действия предоставленного нормативными правовыми актами муниципального образования права на </w:t>
            </w:r>
            <w:r>
              <w:rPr>
                <w:rFonts w:ascii="Arial" w:hAnsi="Arial" w:cs="Arial"/>
              </w:rPr>
              <w:t>налоговые</w:t>
            </w:r>
            <w:r>
              <w:rPr>
                <w:rFonts w:ascii="Arial" w:hAnsi="Arial" w:eastAsia="Calibri" w:cs="Arial"/>
              </w:rPr>
              <w:t xml:space="preserve"> льготы, освобождения и иные преференции по налогам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1237" w:hRule="atLeast"/>
        </w:trPr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6.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Период действия </w:t>
            </w:r>
            <w:r>
              <w:rPr>
                <w:rFonts w:ascii="Arial" w:hAnsi="Arial" w:cs="Arial"/>
              </w:rPr>
              <w:t xml:space="preserve">налоговых </w:t>
            </w:r>
            <w:r>
              <w:rPr>
                <w:rFonts w:ascii="Arial" w:hAnsi="Arial" w:eastAsia="Calibri" w:cs="Arial"/>
              </w:rPr>
              <w:t>льгот, освобождений и иных преференций</w:t>
            </w:r>
            <w:r>
              <w:rPr>
                <w:rFonts w:ascii="Arial" w:hAnsi="Arial" w:eastAsia="Times New Roman" w:cs="Arial"/>
              </w:rPr>
              <w:t xml:space="preserve"> по налогам, предоставленных  нормативными правовыми актами муниципального образования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999" w:hRule="atLeast"/>
        </w:trPr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7.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Дата прекращения действия </w:t>
            </w:r>
            <w:r>
              <w:rPr>
                <w:rFonts w:ascii="Arial" w:hAnsi="Arial" w:cs="Arial"/>
              </w:rPr>
              <w:t>налоговых</w:t>
            </w:r>
            <w:r>
              <w:rPr>
                <w:rFonts w:ascii="Arial" w:hAnsi="Arial" w:eastAsia="Calibri" w:cs="Arial"/>
              </w:rPr>
              <w:t xml:space="preserve"> льгот, освобождений и иных преференций по налогам, установленная</w:t>
            </w:r>
            <w:r>
              <w:rPr>
                <w:rFonts w:ascii="Arial" w:hAnsi="Arial" w:eastAsia="Times New Roman" w:cs="Arial"/>
              </w:rPr>
              <w:t xml:space="preserve"> нормативными правовыми актами муниципального образования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eastAsia="Times New Roman" w:cs="Arial"/>
        </w:rPr>
        <w:sectPr>
          <w:pgSz w:w="11906" w:h="16838"/>
          <w:pgMar w:top="1134" w:right="1134" w:bottom="1134" w:left="1701" w:header="567" w:footer="567" w:gutter="0"/>
          <w:cols w:space="708" w:num="1"/>
          <w:titlePg/>
          <w:docGrid w:linePitch="360" w:charSpace="0"/>
        </w:sectPr>
      </w:pPr>
    </w:p>
    <w:tbl>
      <w:tblPr>
        <w:tblStyle w:val="10"/>
        <w:tblW w:w="921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62" w:type="dxa"/>
          <w:bottom w:w="57" w:type="dxa"/>
          <w:right w:w="62" w:type="dxa"/>
        </w:tblCellMar>
      </w:tblPr>
      <w:tblGrid>
        <w:gridCol w:w="564"/>
        <w:gridCol w:w="6183"/>
        <w:gridCol w:w="2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59" w:hRule="atLeast"/>
        </w:trPr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8.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налоговых</w:t>
            </w:r>
            <w:r>
              <w:rPr>
                <w:rFonts w:ascii="Arial" w:hAnsi="Arial" w:eastAsia="Calibri" w:cs="Arial"/>
              </w:rPr>
              <w:t xml:space="preserve"> льгот, освобождений и иных преференций по налогам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9.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Целевая категория налогового расхода (социальная поддержка, стимулирующая или техническая льгота)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jc w:val="center"/>
            </w:pPr>
            <w:r>
              <w:t>10.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Цели предоставления  </w:t>
            </w:r>
            <w:r>
              <w:rPr>
                <w:rFonts w:ascii="Arial" w:hAnsi="Arial" w:cs="Arial"/>
              </w:rPr>
              <w:t>налоговых</w:t>
            </w:r>
            <w:r>
              <w:rPr>
                <w:rFonts w:ascii="Arial" w:hAnsi="Arial" w:eastAsia="Calibri" w:cs="Arial"/>
              </w:rPr>
              <w:t xml:space="preserve"> льгот, освобождений и иных преференций для плательщиков налогов, установленных </w:t>
            </w:r>
            <w:r>
              <w:rPr>
                <w:rFonts w:ascii="Arial" w:hAnsi="Arial" w:eastAsia="Times New Roman" w:cs="Arial"/>
              </w:rPr>
              <w:t>нормативными правовыми актами муниципального образования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11.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Наименования налогов, по которым предусматриваются </w:t>
            </w:r>
            <w:r>
              <w:rPr>
                <w:rFonts w:ascii="Arial" w:hAnsi="Arial" w:cs="Arial"/>
              </w:rPr>
              <w:t>налоговые</w:t>
            </w:r>
            <w:r>
              <w:rPr>
                <w:rFonts w:ascii="Arial" w:hAnsi="Arial" w:eastAsia="Calibri" w:cs="Arial"/>
              </w:rPr>
              <w:t xml:space="preserve"> льготы, освобождения и иные преференции, установленные  </w:t>
            </w:r>
            <w:r>
              <w:rPr>
                <w:rFonts w:ascii="Arial" w:hAnsi="Arial" w:eastAsia="Times New Roman" w:cs="Arial"/>
              </w:rPr>
              <w:t>нормативными правовыми актами муниципального образования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12.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Вид </w:t>
            </w:r>
            <w:r>
              <w:rPr>
                <w:rFonts w:ascii="Arial" w:hAnsi="Arial" w:cs="Arial"/>
              </w:rPr>
              <w:t>налоговых</w:t>
            </w:r>
            <w:r>
              <w:rPr>
                <w:rFonts w:ascii="Arial" w:hAnsi="Arial" w:eastAsia="Calibri" w:cs="Arial"/>
              </w:rPr>
              <w:t xml:space="preserve">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955" w:hRule="atLeast"/>
        </w:trPr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13.</w:t>
            </w:r>
          </w:p>
        </w:tc>
        <w:tc>
          <w:tcPr>
            <w:tcW w:w="618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Размер налоговой ставки, в пределах которой предоставляются налоговые льготы, освобождения и  иные преференции по налогам</w:t>
            </w: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14.</w:t>
            </w:r>
          </w:p>
        </w:tc>
        <w:tc>
          <w:tcPr>
            <w:tcW w:w="618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Показатель (индикатор) достижения целей муниципальных программ и (или) целей социально-экономической политики муниципального образования, не относящихся к государственным программам, в связи с предоставлением налоговых льгот, освобождений  и иных преференций по налогам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2467" w:type="dxa"/>
          </w:tcPr>
          <w:p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rPr>
          <w:trHeight w:val="450" w:hRule="atLeast"/>
        </w:trPr>
        <w:tc>
          <w:tcPr>
            <w:tcW w:w="9214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2. Фискальныехарактеристики налогового расхода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15.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2467" w:type="dxa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cs="Arial"/>
              </w:rPr>
              <w:t>Управление Федеральной налоговой службы по Республике Татарстан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16.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на плановый период (тыс.рублей)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2467" w:type="dxa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eastAsia="Times New Roman" w:cs="Arial"/>
              </w:rPr>
              <w:t>Исполнительный комитет муниципального образования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eastAsia="Times New Roman" w:cs="Arial"/>
        </w:rPr>
        <w:sectPr>
          <w:type w:val="continuous"/>
          <w:pgSz w:w="11906" w:h="16838"/>
          <w:pgMar w:top="1134" w:right="1134" w:bottom="1134" w:left="1701" w:header="567" w:footer="567" w:gutter="0"/>
          <w:cols w:space="708" w:num="1"/>
          <w:titlePg/>
          <w:docGrid w:linePitch="360" w:charSpace="0"/>
        </w:sectPr>
      </w:pPr>
    </w:p>
    <w:tbl>
      <w:tblPr>
        <w:tblStyle w:val="10"/>
        <w:tblW w:w="921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62" w:type="dxa"/>
          <w:bottom w:w="57" w:type="dxa"/>
          <w:right w:w="62" w:type="dxa"/>
        </w:tblCellMar>
      </w:tblPr>
      <w:tblGrid>
        <w:gridCol w:w="564"/>
        <w:gridCol w:w="6183"/>
        <w:gridCol w:w="2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</w:t>
            </w:r>
          </w:p>
        </w:tc>
        <w:tc>
          <w:tcPr>
            <w:tcW w:w="246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17.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Численность плательщиков налогов, воспользовавшихся налоговой льготой, освобождением и иной преференцией (единиц),</w:t>
            </w:r>
            <w:r>
              <w:rPr>
                <w:rFonts w:ascii="Arial" w:hAnsi="Arial" w:eastAsia="Calibri" w:cs="Arial"/>
              </w:rPr>
              <w:t xml:space="preserve"> установленных </w:t>
            </w:r>
            <w:r>
              <w:rPr>
                <w:rFonts w:ascii="Arial" w:hAnsi="Arial" w:eastAsia="Times New Roman" w:cs="Arial"/>
              </w:rPr>
              <w:t>правовыми актами муниципального образования</w:t>
            </w:r>
          </w:p>
        </w:tc>
        <w:tc>
          <w:tcPr>
            <w:tcW w:w="2467" w:type="dxa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cs="Arial"/>
              </w:rPr>
              <w:t>Управление Федеральной налоговой службы по Республике Татарстан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62" w:type="dxa"/>
            <w:bottom w:w="57" w:type="dxa"/>
            <w:right w:w="62" w:type="dxa"/>
          </w:tblCellMar>
        </w:tblPrEx>
        <w:tc>
          <w:tcPr>
            <w:tcW w:w="56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18.</w:t>
            </w:r>
          </w:p>
        </w:tc>
        <w:tc>
          <w:tcPr>
            <w:tcW w:w="6183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Результат оценки эффективности налогового расхода</w:t>
            </w:r>
          </w:p>
        </w:tc>
        <w:tc>
          <w:tcPr>
            <w:tcW w:w="2467" w:type="dxa"/>
          </w:tcPr>
          <w:p>
            <w:pPr>
              <w:spacing w:after="0" w:line="240" w:lineRule="auto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eastAsia="Times New Roman" w:cs="Arial"/>
              </w:rPr>
              <w:t xml:space="preserve">Исполнительный комитет муниципального образования </w:t>
            </w:r>
          </w:p>
        </w:tc>
      </w:tr>
    </w:tbl>
    <w:p/>
    <w:p>
      <w:pPr>
        <w:pStyle w:val="13"/>
        <w:rPr>
          <w:rFonts w:ascii="Arial" w:hAnsi="Arial" w:eastAsia="Calibri" w:cs="Arial"/>
        </w:rPr>
      </w:pPr>
    </w:p>
    <w:sectPr>
      <w:headerReference r:id="rId5" w:type="default"/>
      <w:pgSz w:w="11906" w:h="16838"/>
      <w:pgMar w:top="426" w:right="1134" w:bottom="794" w:left="1701" w:header="567" w:footer="567" w:gutter="0"/>
      <w:pgNumType w:start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0167351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791D"/>
    <w:multiLevelType w:val="multilevel"/>
    <w:tmpl w:val="053F791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cumentProtection w:enforcement="0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02B4"/>
    <w:rsid w:val="0001590C"/>
    <w:rsid w:val="000173B0"/>
    <w:rsid w:val="000227C5"/>
    <w:rsid w:val="000229AC"/>
    <w:rsid w:val="00022FA3"/>
    <w:rsid w:val="000253E5"/>
    <w:rsid w:val="00030079"/>
    <w:rsid w:val="00042627"/>
    <w:rsid w:val="000536F4"/>
    <w:rsid w:val="00055796"/>
    <w:rsid w:val="00056116"/>
    <w:rsid w:val="00070A8F"/>
    <w:rsid w:val="0007784A"/>
    <w:rsid w:val="00082A42"/>
    <w:rsid w:val="000837CC"/>
    <w:rsid w:val="00084609"/>
    <w:rsid w:val="000854F5"/>
    <w:rsid w:val="0009345C"/>
    <w:rsid w:val="000945EE"/>
    <w:rsid w:val="00096597"/>
    <w:rsid w:val="000A003D"/>
    <w:rsid w:val="000A0325"/>
    <w:rsid w:val="000A3E00"/>
    <w:rsid w:val="000A44C5"/>
    <w:rsid w:val="000A4E6E"/>
    <w:rsid w:val="000A5251"/>
    <w:rsid w:val="000A5799"/>
    <w:rsid w:val="000A79D9"/>
    <w:rsid w:val="000B09F0"/>
    <w:rsid w:val="000C0233"/>
    <w:rsid w:val="000C6F68"/>
    <w:rsid w:val="000C741B"/>
    <w:rsid w:val="000D028F"/>
    <w:rsid w:val="000D1FE9"/>
    <w:rsid w:val="000D6FAC"/>
    <w:rsid w:val="000F4103"/>
    <w:rsid w:val="000F49A3"/>
    <w:rsid w:val="00103BC8"/>
    <w:rsid w:val="00107177"/>
    <w:rsid w:val="0012406E"/>
    <w:rsid w:val="001257C3"/>
    <w:rsid w:val="00126B75"/>
    <w:rsid w:val="001275DC"/>
    <w:rsid w:val="00130E57"/>
    <w:rsid w:val="0013241E"/>
    <w:rsid w:val="0013356C"/>
    <w:rsid w:val="00134644"/>
    <w:rsid w:val="00135B7B"/>
    <w:rsid w:val="00141342"/>
    <w:rsid w:val="00142BF6"/>
    <w:rsid w:val="00143448"/>
    <w:rsid w:val="001461AC"/>
    <w:rsid w:val="00151887"/>
    <w:rsid w:val="00154FDD"/>
    <w:rsid w:val="001551D2"/>
    <w:rsid w:val="00155CD3"/>
    <w:rsid w:val="00160BC8"/>
    <w:rsid w:val="001654E2"/>
    <w:rsid w:val="0017081A"/>
    <w:rsid w:val="0017185C"/>
    <w:rsid w:val="00174091"/>
    <w:rsid w:val="001766CD"/>
    <w:rsid w:val="00176D7D"/>
    <w:rsid w:val="00183B6B"/>
    <w:rsid w:val="001842A3"/>
    <w:rsid w:val="00194D41"/>
    <w:rsid w:val="001B368F"/>
    <w:rsid w:val="001B4548"/>
    <w:rsid w:val="001C65B6"/>
    <w:rsid w:val="001D02C2"/>
    <w:rsid w:val="001D2684"/>
    <w:rsid w:val="001D2D9B"/>
    <w:rsid w:val="001D5F45"/>
    <w:rsid w:val="001E1313"/>
    <w:rsid w:val="001E392E"/>
    <w:rsid w:val="001E3A72"/>
    <w:rsid w:val="001E3FB5"/>
    <w:rsid w:val="001E4360"/>
    <w:rsid w:val="001F0BF2"/>
    <w:rsid w:val="001F141C"/>
    <w:rsid w:val="001F6B01"/>
    <w:rsid w:val="00201DB6"/>
    <w:rsid w:val="00202F6C"/>
    <w:rsid w:val="002036C2"/>
    <w:rsid w:val="0020447B"/>
    <w:rsid w:val="00210B31"/>
    <w:rsid w:val="00213B6F"/>
    <w:rsid w:val="00216B87"/>
    <w:rsid w:val="00217D04"/>
    <w:rsid w:val="00222072"/>
    <w:rsid w:val="00245AAE"/>
    <w:rsid w:val="002545F5"/>
    <w:rsid w:val="00256691"/>
    <w:rsid w:val="0026087B"/>
    <w:rsid w:val="002621AF"/>
    <w:rsid w:val="002625E8"/>
    <w:rsid w:val="00271368"/>
    <w:rsid w:val="002823D9"/>
    <w:rsid w:val="002858CE"/>
    <w:rsid w:val="0028793F"/>
    <w:rsid w:val="0029242B"/>
    <w:rsid w:val="00292EF9"/>
    <w:rsid w:val="00294E17"/>
    <w:rsid w:val="002954DC"/>
    <w:rsid w:val="002A11B6"/>
    <w:rsid w:val="002A6279"/>
    <w:rsid w:val="002A6876"/>
    <w:rsid w:val="002B3725"/>
    <w:rsid w:val="002B6321"/>
    <w:rsid w:val="002B63D7"/>
    <w:rsid w:val="002C64A5"/>
    <w:rsid w:val="002C7B17"/>
    <w:rsid w:val="002D024B"/>
    <w:rsid w:val="002E1375"/>
    <w:rsid w:val="002E2EB0"/>
    <w:rsid w:val="002E42B6"/>
    <w:rsid w:val="002E4399"/>
    <w:rsid w:val="002E5776"/>
    <w:rsid w:val="002E6355"/>
    <w:rsid w:val="002F1300"/>
    <w:rsid w:val="002F1C05"/>
    <w:rsid w:val="002F4588"/>
    <w:rsid w:val="002F6A6D"/>
    <w:rsid w:val="00300991"/>
    <w:rsid w:val="00303A42"/>
    <w:rsid w:val="00306DB9"/>
    <w:rsid w:val="00311592"/>
    <w:rsid w:val="003122CB"/>
    <w:rsid w:val="0032320F"/>
    <w:rsid w:val="003232F6"/>
    <w:rsid w:val="003257CE"/>
    <w:rsid w:val="0033748D"/>
    <w:rsid w:val="00341CEB"/>
    <w:rsid w:val="00342B5E"/>
    <w:rsid w:val="00345EEB"/>
    <w:rsid w:val="00347D0C"/>
    <w:rsid w:val="0035423B"/>
    <w:rsid w:val="00361776"/>
    <w:rsid w:val="0036238E"/>
    <w:rsid w:val="00367B4F"/>
    <w:rsid w:val="003778F5"/>
    <w:rsid w:val="0038629E"/>
    <w:rsid w:val="003906EE"/>
    <w:rsid w:val="003A085D"/>
    <w:rsid w:val="003A69E3"/>
    <w:rsid w:val="003A7CF6"/>
    <w:rsid w:val="003B20DA"/>
    <w:rsid w:val="003B5A01"/>
    <w:rsid w:val="003C46BE"/>
    <w:rsid w:val="003C7B92"/>
    <w:rsid w:val="003D1500"/>
    <w:rsid w:val="003D46FF"/>
    <w:rsid w:val="003D5075"/>
    <w:rsid w:val="003D584D"/>
    <w:rsid w:val="003D7596"/>
    <w:rsid w:val="003E087D"/>
    <w:rsid w:val="003E5F83"/>
    <w:rsid w:val="003F0362"/>
    <w:rsid w:val="003F22A4"/>
    <w:rsid w:val="00403DF2"/>
    <w:rsid w:val="004055E2"/>
    <w:rsid w:val="00407475"/>
    <w:rsid w:val="004103DC"/>
    <w:rsid w:val="00412B77"/>
    <w:rsid w:val="00414DA5"/>
    <w:rsid w:val="0042175B"/>
    <w:rsid w:val="00422A58"/>
    <w:rsid w:val="00426926"/>
    <w:rsid w:val="00427479"/>
    <w:rsid w:val="0043325E"/>
    <w:rsid w:val="00434B2F"/>
    <w:rsid w:val="00441711"/>
    <w:rsid w:val="00442B3E"/>
    <w:rsid w:val="00444E1F"/>
    <w:rsid w:val="00446D01"/>
    <w:rsid w:val="004522C6"/>
    <w:rsid w:val="004537A8"/>
    <w:rsid w:val="00462B76"/>
    <w:rsid w:val="00465603"/>
    <w:rsid w:val="004738F7"/>
    <w:rsid w:val="00477060"/>
    <w:rsid w:val="004776AD"/>
    <w:rsid w:val="00484507"/>
    <w:rsid w:val="0048755C"/>
    <w:rsid w:val="00491A38"/>
    <w:rsid w:val="0049228A"/>
    <w:rsid w:val="00492501"/>
    <w:rsid w:val="0049478C"/>
    <w:rsid w:val="00494BA2"/>
    <w:rsid w:val="00496F59"/>
    <w:rsid w:val="004A1FF8"/>
    <w:rsid w:val="004A49C1"/>
    <w:rsid w:val="004B0D7B"/>
    <w:rsid w:val="004B62ED"/>
    <w:rsid w:val="004C18FF"/>
    <w:rsid w:val="004D1C4A"/>
    <w:rsid w:val="004D28EC"/>
    <w:rsid w:val="004D7C22"/>
    <w:rsid w:val="004E3AA5"/>
    <w:rsid w:val="00502A3E"/>
    <w:rsid w:val="00503334"/>
    <w:rsid w:val="00503342"/>
    <w:rsid w:val="0050383E"/>
    <w:rsid w:val="00503D9D"/>
    <w:rsid w:val="00513CAB"/>
    <w:rsid w:val="005207FD"/>
    <w:rsid w:val="00524CC7"/>
    <w:rsid w:val="00525ADE"/>
    <w:rsid w:val="00531495"/>
    <w:rsid w:val="0054173C"/>
    <w:rsid w:val="00543272"/>
    <w:rsid w:val="0054456D"/>
    <w:rsid w:val="00552F69"/>
    <w:rsid w:val="005538A1"/>
    <w:rsid w:val="00556163"/>
    <w:rsid w:val="00561795"/>
    <w:rsid w:val="00561A0C"/>
    <w:rsid w:val="00561C01"/>
    <w:rsid w:val="00563584"/>
    <w:rsid w:val="00563B65"/>
    <w:rsid w:val="00563C76"/>
    <w:rsid w:val="00574EC6"/>
    <w:rsid w:val="0057676A"/>
    <w:rsid w:val="00577006"/>
    <w:rsid w:val="005774E8"/>
    <w:rsid w:val="0059327B"/>
    <w:rsid w:val="00593B79"/>
    <w:rsid w:val="005955D1"/>
    <w:rsid w:val="005A68F7"/>
    <w:rsid w:val="005C35F0"/>
    <w:rsid w:val="005C6FF3"/>
    <w:rsid w:val="005D2FDC"/>
    <w:rsid w:val="005D3A44"/>
    <w:rsid w:val="005D5593"/>
    <w:rsid w:val="005D677E"/>
    <w:rsid w:val="005D7FA8"/>
    <w:rsid w:val="005E43B9"/>
    <w:rsid w:val="005F0816"/>
    <w:rsid w:val="005F17D3"/>
    <w:rsid w:val="005F332F"/>
    <w:rsid w:val="005F4D29"/>
    <w:rsid w:val="005F5E7D"/>
    <w:rsid w:val="005F5FBD"/>
    <w:rsid w:val="005F655F"/>
    <w:rsid w:val="00603D15"/>
    <w:rsid w:val="00606069"/>
    <w:rsid w:val="0061011A"/>
    <w:rsid w:val="00613F28"/>
    <w:rsid w:val="0062422A"/>
    <w:rsid w:val="00625D3B"/>
    <w:rsid w:val="00627D92"/>
    <w:rsid w:val="00635CDB"/>
    <w:rsid w:val="006361B4"/>
    <w:rsid w:val="006409E1"/>
    <w:rsid w:val="00642022"/>
    <w:rsid w:val="00643361"/>
    <w:rsid w:val="00643B82"/>
    <w:rsid w:val="006529F3"/>
    <w:rsid w:val="00652DA2"/>
    <w:rsid w:val="00655B95"/>
    <w:rsid w:val="0065614F"/>
    <w:rsid w:val="00662EBC"/>
    <w:rsid w:val="006673C5"/>
    <w:rsid w:val="00673555"/>
    <w:rsid w:val="00674792"/>
    <w:rsid w:val="0067711B"/>
    <w:rsid w:val="0068167D"/>
    <w:rsid w:val="00684771"/>
    <w:rsid w:val="00684FF1"/>
    <w:rsid w:val="006853B0"/>
    <w:rsid w:val="00687C7D"/>
    <w:rsid w:val="006921BD"/>
    <w:rsid w:val="006927F6"/>
    <w:rsid w:val="00697F83"/>
    <w:rsid w:val="006A1120"/>
    <w:rsid w:val="006A38AB"/>
    <w:rsid w:val="006A70BF"/>
    <w:rsid w:val="006B0909"/>
    <w:rsid w:val="006B1CE9"/>
    <w:rsid w:val="006B3F5D"/>
    <w:rsid w:val="006B79B7"/>
    <w:rsid w:val="006C1BBF"/>
    <w:rsid w:val="006C4D53"/>
    <w:rsid w:val="006C77DF"/>
    <w:rsid w:val="006D715F"/>
    <w:rsid w:val="006E3E93"/>
    <w:rsid w:val="006F1E60"/>
    <w:rsid w:val="006F2A75"/>
    <w:rsid w:val="006F3574"/>
    <w:rsid w:val="006F5372"/>
    <w:rsid w:val="007023E4"/>
    <w:rsid w:val="007220BD"/>
    <w:rsid w:val="00723BCE"/>
    <w:rsid w:val="00727C0E"/>
    <w:rsid w:val="0073354B"/>
    <w:rsid w:val="00746AD6"/>
    <w:rsid w:val="00753631"/>
    <w:rsid w:val="007611D6"/>
    <w:rsid w:val="00762EAA"/>
    <w:rsid w:val="00763322"/>
    <w:rsid w:val="0076379B"/>
    <w:rsid w:val="00763B73"/>
    <w:rsid w:val="00774236"/>
    <w:rsid w:val="00777040"/>
    <w:rsid w:val="0078232E"/>
    <w:rsid w:val="00784411"/>
    <w:rsid w:val="0078649A"/>
    <w:rsid w:val="007A2476"/>
    <w:rsid w:val="007B0D5A"/>
    <w:rsid w:val="007B1449"/>
    <w:rsid w:val="007B32C7"/>
    <w:rsid w:val="007B6CC1"/>
    <w:rsid w:val="007C3353"/>
    <w:rsid w:val="007D02B4"/>
    <w:rsid w:val="007D459A"/>
    <w:rsid w:val="007E60FE"/>
    <w:rsid w:val="007E674F"/>
    <w:rsid w:val="007E6C47"/>
    <w:rsid w:val="007F68C5"/>
    <w:rsid w:val="00807F5E"/>
    <w:rsid w:val="008161CC"/>
    <w:rsid w:val="00816D4E"/>
    <w:rsid w:val="008245B7"/>
    <w:rsid w:val="00826F23"/>
    <w:rsid w:val="00832FB3"/>
    <w:rsid w:val="008354E2"/>
    <w:rsid w:val="00837E70"/>
    <w:rsid w:val="00840B31"/>
    <w:rsid w:val="00852092"/>
    <w:rsid w:val="0085306F"/>
    <w:rsid w:val="00855A6C"/>
    <w:rsid w:val="00867A10"/>
    <w:rsid w:val="008710F8"/>
    <w:rsid w:val="008713E2"/>
    <w:rsid w:val="008717A2"/>
    <w:rsid w:val="00874C9A"/>
    <w:rsid w:val="008A16B5"/>
    <w:rsid w:val="008A28C9"/>
    <w:rsid w:val="008A3938"/>
    <w:rsid w:val="008B4912"/>
    <w:rsid w:val="008B6A37"/>
    <w:rsid w:val="008C1047"/>
    <w:rsid w:val="008E0ED0"/>
    <w:rsid w:val="008F5C89"/>
    <w:rsid w:val="009003B2"/>
    <w:rsid w:val="009007D0"/>
    <w:rsid w:val="00901D0B"/>
    <w:rsid w:val="009032CF"/>
    <w:rsid w:val="00903C35"/>
    <w:rsid w:val="009111B8"/>
    <w:rsid w:val="00920DF5"/>
    <w:rsid w:val="0092419E"/>
    <w:rsid w:val="009304CF"/>
    <w:rsid w:val="00930696"/>
    <w:rsid w:val="00932865"/>
    <w:rsid w:val="009345AB"/>
    <w:rsid w:val="00936236"/>
    <w:rsid w:val="00937BC7"/>
    <w:rsid w:val="00940238"/>
    <w:rsid w:val="0094770D"/>
    <w:rsid w:val="00954CCE"/>
    <w:rsid w:val="00954FA7"/>
    <w:rsid w:val="00957EC2"/>
    <w:rsid w:val="00981881"/>
    <w:rsid w:val="00983D9C"/>
    <w:rsid w:val="00984C3F"/>
    <w:rsid w:val="0099252F"/>
    <w:rsid w:val="009A6A6C"/>
    <w:rsid w:val="009A7E13"/>
    <w:rsid w:val="009B09A3"/>
    <w:rsid w:val="009B18B1"/>
    <w:rsid w:val="009B3996"/>
    <w:rsid w:val="009C10E4"/>
    <w:rsid w:val="009D48C6"/>
    <w:rsid w:val="009D70A9"/>
    <w:rsid w:val="009D7AE8"/>
    <w:rsid w:val="009E7F5B"/>
    <w:rsid w:val="009F1FF7"/>
    <w:rsid w:val="009F5381"/>
    <w:rsid w:val="009F6152"/>
    <w:rsid w:val="009F621E"/>
    <w:rsid w:val="00A01949"/>
    <w:rsid w:val="00A10607"/>
    <w:rsid w:val="00A14275"/>
    <w:rsid w:val="00A32755"/>
    <w:rsid w:val="00A3304C"/>
    <w:rsid w:val="00A40216"/>
    <w:rsid w:val="00A41AC7"/>
    <w:rsid w:val="00A438DB"/>
    <w:rsid w:val="00A50531"/>
    <w:rsid w:val="00A5360C"/>
    <w:rsid w:val="00A53F50"/>
    <w:rsid w:val="00A5446E"/>
    <w:rsid w:val="00A5706B"/>
    <w:rsid w:val="00A60499"/>
    <w:rsid w:val="00A610BF"/>
    <w:rsid w:val="00A62C7A"/>
    <w:rsid w:val="00A642E9"/>
    <w:rsid w:val="00A700BB"/>
    <w:rsid w:val="00A70198"/>
    <w:rsid w:val="00A7444F"/>
    <w:rsid w:val="00A8323C"/>
    <w:rsid w:val="00A8556F"/>
    <w:rsid w:val="00A85A18"/>
    <w:rsid w:val="00A86083"/>
    <w:rsid w:val="00A9395D"/>
    <w:rsid w:val="00AA599B"/>
    <w:rsid w:val="00AB1FAD"/>
    <w:rsid w:val="00AE2ABD"/>
    <w:rsid w:val="00AE3040"/>
    <w:rsid w:val="00AE6C16"/>
    <w:rsid w:val="00AE7AA1"/>
    <w:rsid w:val="00AF5E44"/>
    <w:rsid w:val="00B00EC0"/>
    <w:rsid w:val="00B06B06"/>
    <w:rsid w:val="00B07854"/>
    <w:rsid w:val="00B12409"/>
    <w:rsid w:val="00B12CF3"/>
    <w:rsid w:val="00B1350C"/>
    <w:rsid w:val="00B20CD8"/>
    <w:rsid w:val="00B22430"/>
    <w:rsid w:val="00B22908"/>
    <w:rsid w:val="00B278AE"/>
    <w:rsid w:val="00B303F8"/>
    <w:rsid w:val="00B445C8"/>
    <w:rsid w:val="00B50426"/>
    <w:rsid w:val="00B51B26"/>
    <w:rsid w:val="00B5507D"/>
    <w:rsid w:val="00B62C7C"/>
    <w:rsid w:val="00B661D0"/>
    <w:rsid w:val="00B74243"/>
    <w:rsid w:val="00B75ECC"/>
    <w:rsid w:val="00B8124B"/>
    <w:rsid w:val="00B924E2"/>
    <w:rsid w:val="00B928F4"/>
    <w:rsid w:val="00B958E3"/>
    <w:rsid w:val="00B95AE1"/>
    <w:rsid w:val="00BA4128"/>
    <w:rsid w:val="00BB0D00"/>
    <w:rsid w:val="00BB2CF0"/>
    <w:rsid w:val="00BC08B9"/>
    <w:rsid w:val="00BC4A57"/>
    <w:rsid w:val="00BC62C9"/>
    <w:rsid w:val="00BC716E"/>
    <w:rsid w:val="00BD0202"/>
    <w:rsid w:val="00BD49F4"/>
    <w:rsid w:val="00BD5974"/>
    <w:rsid w:val="00BD5CAF"/>
    <w:rsid w:val="00BD7ECA"/>
    <w:rsid w:val="00BE0145"/>
    <w:rsid w:val="00BE7897"/>
    <w:rsid w:val="00BF5CAD"/>
    <w:rsid w:val="00C030AE"/>
    <w:rsid w:val="00C06B43"/>
    <w:rsid w:val="00C13667"/>
    <w:rsid w:val="00C14E2F"/>
    <w:rsid w:val="00C16F41"/>
    <w:rsid w:val="00C173A0"/>
    <w:rsid w:val="00C17857"/>
    <w:rsid w:val="00C20FEF"/>
    <w:rsid w:val="00C3133A"/>
    <w:rsid w:val="00C31690"/>
    <w:rsid w:val="00C354B2"/>
    <w:rsid w:val="00C43EB9"/>
    <w:rsid w:val="00C45145"/>
    <w:rsid w:val="00C50F65"/>
    <w:rsid w:val="00C577A6"/>
    <w:rsid w:val="00C60C20"/>
    <w:rsid w:val="00C64439"/>
    <w:rsid w:val="00C668D1"/>
    <w:rsid w:val="00C74A7F"/>
    <w:rsid w:val="00C7627C"/>
    <w:rsid w:val="00C837E1"/>
    <w:rsid w:val="00C83A18"/>
    <w:rsid w:val="00C863D4"/>
    <w:rsid w:val="00C87DAD"/>
    <w:rsid w:val="00C9787C"/>
    <w:rsid w:val="00CB1B53"/>
    <w:rsid w:val="00CB2B1F"/>
    <w:rsid w:val="00CB7EBB"/>
    <w:rsid w:val="00CC2347"/>
    <w:rsid w:val="00CC3363"/>
    <w:rsid w:val="00CC3F59"/>
    <w:rsid w:val="00CC7F08"/>
    <w:rsid w:val="00CD07D3"/>
    <w:rsid w:val="00CD3DD6"/>
    <w:rsid w:val="00CE0BFE"/>
    <w:rsid w:val="00CF0FCA"/>
    <w:rsid w:val="00CF3FAC"/>
    <w:rsid w:val="00D018FE"/>
    <w:rsid w:val="00D01DDF"/>
    <w:rsid w:val="00D02E8E"/>
    <w:rsid w:val="00D22975"/>
    <w:rsid w:val="00D24C4E"/>
    <w:rsid w:val="00D359DB"/>
    <w:rsid w:val="00D37176"/>
    <w:rsid w:val="00D40ACC"/>
    <w:rsid w:val="00D4203B"/>
    <w:rsid w:val="00D4449F"/>
    <w:rsid w:val="00D44D2C"/>
    <w:rsid w:val="00D57363"/>
    <w:rsid w:val="00D7293B"/>
    <w:rsid w:val="00D76C72"/>
    <w:rsid w:val="00D779C3"/>
    <w:rsid w:val="00D85EF5"/>
    <w:rsid w:val="00D90B4B"/>
    <w:rsid w:val="00D9473C"/>
    <w:rsid w:val="00DA0403"/>
    <w:rsid w:val="00DA4343"/>
    <w:rsid w:val="00DA61AA"/>
    <w:rsid w:val="00DA757E"/>
    <w:rsid w:val="00DB0A12"/>
    <w:rsid w:val="00DC76AF"/>
    <w:rsid w:val="00DD21C2"/>
    <w:rsid w:val="00DD4144"/>
    <w:rsid w:val="00DE4664"/>
    <w:rsid w:val="00DE55DA"/>
    <w:rsid w:val="00DE7CE9"/>
    <w:rsid w:val="00DF09AD"/>
    <w:rsid w:val="00DF1B7A"/>
    <w:rsid w:val="00DF5314"/>
    <w:rsid w:val="00E0453E"/>
    <w:rsid w:val="00E050ED"/>
    <w:rsid w:val="00E15C5D"/>
    <w:rsid w:val="00E17B82"/>
    <w:rsid w:val="00E17EBD"/>
    <w:rsid w:val="00E233DF"/>
    <w:rsid w:val="00E251B4"/>
    <w:rsid w:val="00E26196"/>
    <w:rsid w:val="00E33C24"/>
    <w:rsid w:val="00E35DC3"/>
    <w:rsid w:val="00E636F4"/>
    <w:rsid w:val="00E63909"/>
    <w:rsid w:val="00E669E9"/>
    <w:rsid w:val="00E6769E"/>
    <w:rsid w:val="00E71B85"/>
    <w:rsid w:val="00E73555"/>
    <w:rsid w:val="00E8028D"/>
    <w:rsid w:val="00E83E99"/>
    <w:rsid w:val="00E841F6"/>
    <w:rsid w:val="00E85CE7"/>
    <w:rsid w:val="00E94F16"/>
    <w:rsid w:val="00EB6F27"/>
    <w:rsid w:val="00EC0F9A"/>
    <w:rsid w:val="00EC0FC4"/>
    <w:rsid w:val="00EC4DBE"/>
    <w:rsid w:val="00EC4E8F"/>
    <w:rsid w:val="00EE3167"/>
    <w:rsid w:val="00EE54BD"/>
    <w:rsid w:val="00EE596B"/>
    <w:rsid w:val="00EF0F57"/>
    <w:rsid w:val="00EF15B3"/>
    <w:rsid w:val="00EF2740"/>
    <w:rsid w:val="00F00FC4"/>
    <w:rsid w:val="00F21D49"/>
    <w:rsid w:val="00F24537"/>
    <w:rsid w:val="00F26A21"/>
    <w:rsid w:val="00F33F8F"/>
    <w:rsid w:val="00F40A13"/>
    <w:rsid w:val="00F413C7"/>
    <w:rsid w:val="00F45E63"/>
    <w:rsid w:val="00F545C2"/>
    <w:rsid w:val="00F6425D"/>
    <w:rsid w:val="00F65C5C"/>
    <w:rsid w:val="00F666F0"/>
    <w:rsid w:val="00F6671B"/>
    <w:rsid w:val="00F66E04"/>
    <w:rsid w:val="00F75BE2"/>
    <w:rsid w:val="00F84827"/>
    <w:rsid w:val="00F85735"/>
    <w:rsid w:val="00F86391"/>
    <w:rsid w:val="00F87C96"/>
    <w:rsid w:val="00F90EFD"/>
    <w:rsid w:val="00F9128F"/>
    <w:rsid w:val="00F912FA"/>
    <w:rsid w:val="00F91FC7"/>
    <w:rsid w:val="00F9365A"/>
    <w:rsid w:val="00F93F8D"/>
    <w:rsid w:val="00F95ECE"/>
    <w:rsid w:val="00FA3DA4"/>
    <w:rsid w:val="00FB5F17"/>
    <w:rsid w:val="00FC040D"/>
    <w:rsid w:val="00FC0CB0"/>
    <w:rsid w:val="00FC3EA3"/>
    <w:rsid w:val="00FC7610"/>
    <w:rsid w:val="00FD08FA"/>
    <w:rsid w:val="00FD1F69"/>
    <w:rsid w:val="00FD2079"/>
    <w:rsid w:val="00FD2900"/>
    <w:rsid w:val="00FE4E09"/>
    <w:rsid w:val="6B086F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note text"/>
    <w:basedOn w:val="1"/>
    <w:link w:val="17"/>
    <w:semiHidden/>
    <w:unhideWhenUsed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0"/>
      <w:szCs w:val="20"/>
    </w:rPr>
  </w:style>
  <w:style w:type="paragraph" w:styleId="6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character" w:customStyle="1" w:styleId="14">
    <w:name w:val="Заголовок 1 Знак"/>
    <w:basedOn w:val="8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15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16">
    <w:name w:val="Текст выноски Знак"/>
    <w:basedOn w:val="8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7">
    <w:name w:val="Текст сноски Знак"/>
    <w:basedOn w:val="8"/>
    <w:link w:val="5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18">
    <w:name w:val="Верхний колонтитул Знак"/>
    <w:basedOn w:val="8"/>
    <w:link w:val="6"/>
    <w:qFormat/>
    <w:uiPriority w:val="99"/>
  </w:style>
  <w:style w:type="character" w:customStyle="1" w:styleId="19">
    <w:name w:val="Нижний колонтитул Знак"/>
    <w:basedOn w:val="8"/>
    <w:link w:val="7"/>
    <w:qFormat/>
    <w:uiPriority w:val="99"/>
  </w:style>
  <w:style w:type="paragraph" w:styleId="2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21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22">
    <w:name w:val="Заголовок 2 Знак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AC76C9-4C41-4C65-B2BE-7760DF7BA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adm-nk</Company>
  <Pages>1</Pages>
  <Words>2362</Words>
  <Characters>13465</Characters>
  <Lines>112</Lines>
  <Paragraphs>31</Paragraphs>
  <TotalTime>13</TotalTime>
  <ScaleCrop>false</ScaleCrop>
  <LinksUpToDate>false</LinksUpToDate>
  <CharactersWithSpaces>15796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2020-05-12T12:59:00Z</dcterms:created>
  <dc:creator>Минфин РТ - Буканова Елена Юрьевна</dc:creator>
  <cp:lastModifiedBy>Пользователь</cp:lastModifiedBy>
  <cp:lastPrinted>2020-05-14T08:25:26Z</cp:lastPrinted>
  <dcterms:modified xsi:type="dcterms:W3CDTF">2020-05-14T08:25:48Z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